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72" w:rsidRPr="00E60C72" w:rsidRDefault="00E60C72" w:rsidP="00E60C72">
      <w:pPr>
        <w:jc w:val="center"/>
        <w:rPr>
          <w:rFonts w:ascii="Times New Roman" w:hAnsi="Times New Roman" w:cs="Times New Roman"/>
          <w:sz w:val="26"/>
          <w:szCs w:val="26"/>
        </w:rPr>
      </w:pPr>
      <w:r w:rsidRPr="00E60C72">
        <w:rPr>
          <w:rFonts w:ascii="Times New Roman" w:hAnsi="Times New Roman" w:cs="Times New Roman"/>
          <w:sz w:val="26"/>
          <w:szCs w:val="26"/>
        </w:rPr>
        <w:t xml:space="preserve">АНАЛИЗ </w:t>
      </w:r>
    </w:p>
    <w:p w:rsidR="00FA3444" w:rsidRDefault="00E60C72" w:rsidP="00E60C72">
      <w:pPr>
        <w:jc w:val="center"/>
        <w:rPr>
          <w:rFonts w:ascii="Times New Roman" w:hAnsi="Times New Roman" w:cs="Times New Roman"/>
          <w:sz w:val="26"/>
          <w:szCs w:val="26"/>
        </w:rPr>
      </w:pPr>
      <w:r w:rsidRPr="00E60C72">
        <w:rPr>
          <w:rFonts w:ascii="Times New Roman" w:hAnsi="Times New Roman" w:cs="Times New Roman"/>
          <w:sz w:val="26"/>
          <w:szCs w:val="26"/>
        </w:rPr>
        <w:t xml:space="preserve">поступивших обращений граждан в администрацию </w:t>
      </w:r>
    </w:p>
    <w:p w:rsidR="00AA2C6D" w:rsidRDefault="00E60C72" w:rsidP="00E60C7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E60C72">
        <w:rPr>
          <w:rFonts w:ascii="Times New Roman" w:hAnsi="Times New Roman" w:cs="Times New Roman"/>
          <w:sz w:val="26"/>
          <w:szCs w:val="26"/>
        </w:rPr>
        <w:t>ннинского муниципального района Воронежской области</w:t>
      </w:r>
      <w:r w:rsidR="00732A3A">
        <w:rPr>
          <w:rFonts w:ascii="Times New Roman" w:hAnsi="Times New Roman" w:cs="Times New Roman"/>
          <w:sz w:val="26"/>
          <w:szCs w:val="26"/>
        </w:rPr>
        <w:t xml:space="preserve"> </w:t>
      </w:r>
      <w:r w:rsidR="00AA2C6D">
        <w:rPr>
          <w:rFonts w:ascii="Times New Roman" w:hAnsi="Times New Roman" w:cs="Times New Roman"/>
          <w:sz w:val="26"/>
          <w:szCs w:val="26"/>
        </w:rPr>
        <w:t xml:space="preserve">за </w:t>
      </w:r>
      <w:r w:rsidR="00AA2C6D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AA2C6D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FA3444">
        <w:rPr>
          <w:rFonts w:ascii="Times New Roman" w:hAnsi="Times New Roman" w:cs="Times New Roman"/>
          <w:sz w:val="26"/>
          <w:szCs w:val="26"/>
        </w:rPr>
        <w:t>4</w:t>
      </w:r>
      <w:r w:rsidR="00AA2C6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60C72" w:rsidRDefault="00E60C72" w:rsidP="00E60C7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A2C6D" w:rsidRDefault="00525AC3" w:rsidP="00525AC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-64135</wp:posOffset>
            </wp:positionH>
            <wp:positionV relativeFrom="margin">
              <wp:posOffset>773430</wp:posOffset>
            </wp:positionV>
            <wp:extent cx="3190875" cy="1657350"/>
            <wp:effectExtent l="19050" t="0" r="9525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В администрацию Аннинского муниципального района Воронежской области в третьем квартале 202</w:t>
      </w:r>
      <w:r w:rsidR="00FA344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 поступило </w:t>
      </w:r>
      <w:r w:rsidR="00FA3444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4C0CD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граждан. Из них подавляющая часть это письменные обращения. По сравнению с предыдущим кварталом, где общее количество поступивших обращений </w:t>
      </w:r>
      <w:r w:rsidR="00D90AE4">
        <w:rPr>
          <w:rFonts w:ascii="Times New Roman" w:hAnsi="Times New Roman" w:cs="Times New Roman"/>
          <w:sz w:val="26"/>
          <w:szCs w:val="26"/>
        </w:rPr>
        <w:t xml:space="preserve">было </w:t>
      </w:r>
      <w:r w:rsidR="00FA3444">
        <w:rPr>
          <w:rFonts w:ascii="Times New Roman" w:hAnsi="Times New Roman" w:cs="Times New Roman"/>
          <w:sz w:val="26"/>
          <w:szCs w:val="26"/>
        </w:rPr>
        <w:t>43</w:t>
      </w:r>
      <w:r w:rsidR="00D90AE4">
        <w:rPr>
          <w:rFonts w:ascii="Times New Roman" w:hAnsi="Times New Roman" w:cs="Times New Roman"/>
          <w:sz w:val="26"/>
          <w:szCs w:val="26"/>
        </w:rPr>
        <w:t xml:space="preserve">, есть </w:t>
      </w:r>
      <w:r w:rsidR="00FA3444">
        <w:rPr>
          <w:rFonts w:ascii="Times New Roman" w:hAnsi="Times New Roman" w:cs="Times New Roman"/>
          <w:sz w:val="26"/>
          <w:szCs w:val="26"/>
        </w:rPr>
        <w:t>существенное</w:t>
      </w:r>
      <w:r w:rsidR="00D90AE4">
        <w:rPr>
          <w:rFonts w:ascii="Times New Roman" w:hAnsi="Times New Roman" w:cs="Times New Roman"/>
          <w:sz w:val="26"/>
          <w:szCs w:val="26"/>
        </w:rPr>
        <w:t xml:space="preserve"> </w:t>
      </w:r>
      <w:r w:rsidR="004C0CD0">
        <w:rPr>
          <w:rFonts w:ascii="Times New Roman" w:hAnsi="Times New Roman" w:cs="Times New Roman"/>
          <w:sz w:val="26"/>
          <w:szCs w:val="26"/>
        </w:rPr>
        <w:t>уменьшение</w:t>
      </w:r>
      <w:r w:rsidR="00D90AE4">
        <w:rPr>
          <w:rFonts w:ascii="Times New Roman" w:hAnsi="Times New Roman" w:cs="Times New Roman"/>
          <w:sz w:val="26"/>
          <w:szCs w:val="26"/>
        </w:rPr>
        <w:t xml:space="preserve"> на </w:t>
      </w:r>
      <w:r w:rsidR="00FA3444">
        <w:rPr>
          <w:rFonts w:ascii="Times New Roman" w:hAnsi="Times New Roman" w:cs="Times New Roman"/>
          <w:sz w:val="26"/>
          <w:szCs w:val="26"/>
        </w:rPr>
        <w:t>40</w:t>
      </w:r>
      <w:r w:rsidR="00D90AE4">
        <w:rPr>
          <w:rFonts w:ascii="Times New Roman" w:hAnsi="Times New Roman" w:cs="Times New Roman"/>
          <w:sz w:val="26"/>
          <w:szCs w:val="26"/>
        </w:rPr>
        <w:t>%.</w:t>
      </w:r>
    </w:p>
    <w:p w:rsidR="00B34A4E" w:rsidRDefault="00B34A4E" w:rsidP="002644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34A4E" w:rsidRDefault="00B34A4E" w:rsidP="002644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740EC" w:rsidRDefault="00455CCB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2774315</wp:posOffset>
            </wp:positionH>
            <wp:positionV relativeFrom="margin">
              <wp:posOffset>2954655</wp:posOffset>
            </wp:positionV>
            <wp:extent cx="3990975" cy="2819400"/>
            <wp:effectExtent l="0" t="0" r="0" b="0"/>
            <wp:wrapSquare wrapText="bothSides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BB326E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BB326E">
        <w:rPr>
          <w:rFonts w:ascii="Times New Roman" w:hAnsi="Times New Roman" w:cs="Times New Roman"/>
          <w:sz w:val="26"/>
          <w:szCs w:val="26"/>
        </w:rPr>
        <w:t>третьем</w:t>
      </w:r>
      <w:proofErr w:type="gramEnd"/>
      <w:r w:rsidR="00BB326E">
        <w:rPr>
          <w:rFonts w:ascii="Times New Roman" w:hAnsi="Times New Roman" w:cs="Times New Roman"/>
          <w:sz w:val="26"/>
          <w:szCs w:val="26"/>
        </w:rPr>
        <w:t xml:space="preserve"> квартале </w:t>
      </w:r>
      <w:r w:rsidR="004C0CD0">
        <w:rPr>
          <w:rFonts w:ascii="Times New Roman" w:hAnsi="Times New Roman" w:cs="Times New Roman"/>
          <w:sz w:val="26"/>
          <w:szCs w:val="26"/>
        </w:rPr>
        <w:t xml:space="preserve">письменные </w:t>
      </w:r>
      <w:r w:rsidR="00BB326E">
        <w:rPr>
          <w:rFonts w:ascii="Times New Roman" w:hAnsi="Times New Roman" w:cs="Times New Roman"/>
          <w:sz w:val="26"/>
          <w:szCs w:val="26"/>
        </w:rPr>
        <w:t xml:space="preserve">обращения граждан </w:t>
      </w:r>
      <w:r w:rsidR="00B34A4E">
        <w:rPr>
          <w:rFonts w:ascii="Times New Roman" w:hAnsi="Times New Roman" w:cs="Times New Roman"/>
          <w:sz w:val="26"/>
          <w:szCs w:val="26"/>
        </w:rPr>
        <w:t xml:space="preserve">по источникам поступления </w:t>
      </w:r>
      <w:r w:rsidR="00BB326E">
        <w:rPr>
          <w:rFonts w:ascii="Times New Roman" w:hAnsi="Times New Roman" w:cs="Times New Roman"/>
          <w:sz w:val="26"/>
          <w:szCs w:val="26"/>
        </w:rPr>
        <w:t>соответственно:</w:t>
      </w:r>
    </w:p>
    <w:p w:rsidR="00492E09" w:rsidRDefault="00492E09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Интернет-приемная – </w:t>
      </w:r>
      <w:r w:rsidR="00FA3444">
        <w:rPr>
          <w:rFonts w:ascii="Times New Roman" w:hAnsi="Times New Roman" w:cs="Times New Roman"/>
          <w:sz w:val="26"/>
          <w:szCs w:val="26"/>
        </w:rPr>
        <w:t>2</w:t>
      </w:r>
      <w:r w:rsidR="00BB326E">
        <w:rPr>
          <w:rFonts w:ascii="Times New Roman" w:hAnsi="Times New Roman" w:cs="Times New Roman"/>
          <w:sz w:val="26"/>
          <w:szCs w:val="26"/>
        </w:rPr>
        <w:t>;</w:t>
      </w:r>
    </w:p>
    <w:p w:rsidR="00BB326E" w:rsidRDefault="00BB326E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почт</w:t>
      </w:r>
      <w:proofErr w:type="gramStart"/>
      <w:r>
        <w:rPr>
          <w:rFonts w:ascii="Times New Roman" w:hAnsi="Times New Roman" w:cs="Times New Roman"/>
          <w:sz w:val="26"/>
          <w:szCs w:val="26"/>
        </w:rPr>
        <w:t>а</w:t>
      </w:r>
      <w:r w:rsidR="00492E09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492E09">
        <w:rPr>
          <w:rFonts w:ascii="Times New Roman" w:hAnsi="Times New Roman" w:cs="Times New Roman"/>
          <w:sz w:val="26"/>
          <w:szCs w:val="26"/>
        </w:rPr>
        <w:t xml:space="preserve">+АС ДОУ) 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FA3444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B326E" w:rsidRDefault="00492E09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Почтовые отправления – </w:t>
      </w:r>
      <w:r w:rsidR="00FA3444">
        <w:rPr>
          <w:rFonts w:ascii="Times New Roman" w:hAnsi="Times New Roman" w:cs="Times New Roman"/>
          <w:sz w:val="26"/>
          <w:szCs w:val="26"/>
        </w:rPr>
        <w:t>7</w:t>
      </w:r>
      <w:r w:rsidR="00BB326E">
        <w:rPr>
          <w:rFonts w:ascii="Times New Roman" w:hAnsi="Times New Roman" w:cs="Times New Roman"/>
          <w:sz w:val="26"/>
          <w:szCs w:val="26"/>
        </w:rPr>
        <w:t>;</w:t>
      </w:r>
    </w:p>
    <w:p w:rsidR="00BB326E" w:rsidRDefault="00BB326E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Личная доставка – </w:t>
      </w:r>
      <w:r w:rsidR="00FA344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B326E" w:rsidRDefault="00BB326E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Исходя и</w:t>
      </w:r>
      <w:r w:rsidR="00B34A4E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 этого, большая часть обращений граждан поступает через электронный канал связи около </w:t>
      </w:r>
      <w:r w:rsidR="005F50D2">
        <w:rPr>
          <w:rFonts w:ascii="Times New Roman" w:hAnsi="Times New Roman" w:cs="Times New Roman"/>
          <w:sz w:val="26"/>
          <w:szCs w:val="26"/>
        </w:rPr>
        <w:t>6</w:t>
      </w:r>
      <w:r w:rsidR="000B45D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% от общего количества поступивших обращений, по сравнению с предыдущим кварталом тенденция сохраняется, где так же лидирует этот вид связи.</w:t>
      </w:r>
    </w:p>
    <w:p w:rsidR="00BB326E" w:rsidRDefault="00BB326E" w:rsidP="00BB32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B326E" w:rsidRDefault="00B34A4E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виду обращений данные представлены следующим образом:</w:t>
      </w:r>
    </w:p>
    <w:p w:rsidR="00B34A4E" w:rsidRDefault="00B34A4E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Заявления – </w:t>
      </w:r>
      <w:r w:rsidR="004C0CD0">
        <w:rPr>
          <w:rFonts w:ascii="Times New Roman" w:hAnsi="Times New Roman" w:cs="Times New Roman"/>
          <w:sz w:val="26"/>
          <w:szCs w:val="26"/>
        </w:rPr>
        <w:t>2</w:t>
      </w:r>
      <w:r w:rsidR="008B241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 Жалобы – </w:t>
      </w:r>
      <w:r w:rsidR="008B241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Предложения – </w:t>
      </w:r>
      <w:r w:rsidR="008B241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34A4E" w:rsidRDefault="001C3357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Повторных обращений</w:t>
      </w:r>
      <w:r w:rsidR="008B2412">
        <w:rPr>
          <w:rFonts w:ascii="Times New Roman" w:hAnsi="Times New Roman" w:cs="Times New Roman"/>
          <w:sz w:val="26"/>
          <w:szCs w:val="26"/>
        </w:rPr>
        <w:t xml:space="preserve"> – 2</w:t>
      </w:r>
      <w:r w:rsidR="00B34A4E">
        <w:rPr>
          <w:rFonts w:ascii="Times New Roman" w:hAnsi="Times New Roman" w:cs="Times New Roman"/>
          <w:sz w:val="26"/>
          <w:szCs w:val="26"/>
        </w:rPr>
        <w:t>.</w:t>
      </w:r>
    </w:p>
    <w:p w:rsidR="00B34A4E" w:rsidRDefault="00B34A4E" w:rsidP="00BB32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34A4E" w:rsidRDefault="00B34A4E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Распределение </w:t>
      </w:r>
      <w:r w:rsidR="008B2412">
        <w:rPr>
          <w:rFonts w:ascii="Times New Roman" w:hAnsi="Times New Roman" w:cs="Times New Roman"/>
          <w:sz w:val="26"/>
          <w:szCs w:val="26"/>
        </w:rPr>
        <w:t>вопросов в обращениях</w:t>
      </w:r>
      <w:r>
        <w:rPr>
          <w:rFonts w:ascii="Times New Roman" w:hAnsi="Times New Roman" w:cs="Times New Roman"/>
          <w:sz w:val="26"/>
          <w:szCs w:val="26"/>
        </w:rPr>
        <w:t xml:space="preserve"> граждан по тематике обращений</w:t>
      </w:r>
    </w:p>
    <w:p w:rsidR="00BB326E" w:rsidRDefault="008969D7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353175" cy="2571750"/>
            <wp:effectExtent l="0" t="0" r="0" b="0"/>
            <wp:docPr id="1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1453" w:rsidRDefault="004C1E1C" w:rsidP="00172FA0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 xml:space="preserve">Из выше представленной </w:t>
      </w:r>
      <w:r w:rsidR="008969D7">
        <w:rPr>
          <w:rFonts w:ascii="Times New Roman" w:hAnsi="Times New Roman" w:cs="Times New Roman"/>
          <w:sz w:val="26"/>
          <w:szCs w:val="26"/>
        </w:rPr>
        <w:t>диаграммы</w:t>
      </w:r>
      <w:r>
        <w:rPr>
          <w:rFonts w:ascii="Times New Roman" w:hAnsi="Times New Roman" w:cs="Times New Roman"/>
          <w:sz w:val="26"/>
          <w:szCs w:val="26"/>
        </w:rPr>
        <w:t xml:space="preserve"> следует, что динамика по отношению к прошлому кварталу </w:t>
      </w:r>
      <w:r w:rsidR="008B2412">
        <w:rPr>
          <w:rFonts w:ascii="Times New Roman" w:hAnsi="Times New Roman" w:cs="Times New Roman"/>
          <w:sz w:val="26"/>
          <w:szCs w:val="26"/>
        </w:rPr>
        <w:t>по всем тематикам существенно ниже, кроме тематика Экономика, по ней изменения незначительные.</w:t>
      </w:r>
      <w:proofErr w:type="gramEnd"/>
    </w:p>
    <w:p w:rsidR="008C4C8A" w:rsidRDefault="008C4C8A" w:rsidP="002644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4C8A" w:rsidRDefault="008969D7" w:rsidP="002644EA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96050" cy="257175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172FA0" w:rsidRDefault="00172FA0" w:rsidP="0052538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538E" w:rsidRDefault="0052538E" w:rsidP="0052538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Ключевой тематикой в третьем квартале 202</w:t>
      </w:r>
      <w:r w:rsidR="00715B2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 является «Экономика», по данной тематике поступило </w:t>
      </w:r>
      <w:r w:rsidR="00715B28">
        <w:rPr>
          <w:rFonts w:ascii="Times New Roman" w:hAnsi="Times New Roman" w:cs="Times New Roman"/>
          <w:sz w:val="26"/>
          <w:szCs w:val="26"/>
        </w:rPr>
        <w:t>21 вопрос в</w:t>
      </w:r>
      <w:r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715B28">
        <w:rPr>
          <w:rFonts w:ascii="Times New Roman" w:hAnsi="Times New Roman" w:cs="Times New Roman"/>
          <w:sz w:val="26"/>
          <w:szCs w:val="26"/>
        </w:rPr>
        <w:t>ях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715B28">
        <w:rPr>
          <w:rFonts w:ascii="Times New Roman" w:hAnsi="Times New Roman" w:cs="Times New Roman"/>
          <w:sz w:val="26"/>
          <w:szCs w:val="26"/>
        </w:rPr>
        <w:t>что составляет 78</w:t>
      </w:r>
      <w:r>
        <w:rPr>
          <w:rFonts w:ascii="Times New Roman" w:hAnsi="Times New Roman" w:cs="Times New Roman"/>
          <w:sz w:val="26"/>
          <w:szCs w:val="26"/>
        </w:rPr>
        <w:t xml:space="preserve">% от общего числа поступивших </w:t>
      </w:r>
      <w:r w:rsidR="00715B28">
        <w:rPr>
          <w:rFonts w:ascii="Times New Roman" w:hAnsi="Times New Roman" w:cs="Times New Roman"/>
          <w:sz w:val="26"/>
          <w:szCs w:val="26"/>
        </w:rPr>
        <w:t>вопросов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2538E" w:rsidRDefault="0052538E" w:rsidP="0052538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538E" w:rsidRDefault="001C3357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>
        <w:rPr>
          <w:rFonts w:ascii="Times New Roman" w:hAnsi="Times New Roman" w:cs="Times New Roman"/>
          <w:sz w:val="26"/>
          <w:szCs w:val="26"/>
        </w:rPr>
        <w:t>третьем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715B2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 рассмотренных по существу обращений граждан администрацией Аннинского муниципального района составляет </w:t>
      </w:r>
      <w:r w:rsidR="00715B28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 из </w:t>
      </w:r>
      <w:r w:rsidR="000A624F">
        <w:rPr>
          <w:rFonts w:ascii="Times New Roman" w:hAnsi="Times New Roman" w:cs="Times New Roman"/>
          <w:sz w:val="26"/>
          <w:szCs w:val="26"/>
        </w:rPr>
        <w:t>2</w:t>
      </w:r>
      <w:r w:rsidR="00715B2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поступивших, остальные </w:t>
      </w:r>
      <w:r w:rsidR="00715B2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были переадресованы в соответствии с законодательством РФ в другие органы власти. С формулировкой «дан ответ автору» (неразборчивый почерк, ненормативная лексика, неясная суть обращения)</w:t>
      </w:r>
      <w:r w:rsidR="001A001E">
        <w:rPr>
          <w:rFonts w:ascii="Times New Roman" w:hAnsi="Times New Roman" w:cs="Times New Roman"/>
          <w:sz w:val="26"/>
          <w:szCs w:val="26"/>
        </w:rPr>
        <w:t>, а так же «оставлено без ответа автору» (аноним)</w:t>
      </w:r>
      <w:r>
        <w:rPr>
          <w:rFonts w:ascii="Times New Roman" w:hAnsi="Times New Roman" w:cs="Times New Roman"/>
          <w:sz w:val="26"/>
          <w:szCs w:val="26"/>
        </w:rPr>
        <w:t xml:space="preserve"> в данном квартале отсутствуют.</w:t>
      </w:r>
    </w:p>
    <w:p w:rsidR="008369B9" w:rsidRDefault="008369B9" w:rsidP="002644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69B9" w:rsidRPr="004C0CD0" w:rsidRDefault="00573BEE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рассмотрения обращений граждан в третьем квартале 202</w:t>
      </w:r>
      <w:r w:rsidR="00715B2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308A3" w:rsidRDefault="000308A3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67475" cy="22955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2677" w:rsidRPr="00F54F82" w:rsidRDefault="00DB13A9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Обращений содержащих информацию о фактах коррупции не поступало.</w:t>
      </w:r>
    </w:p>
    <w:p w:rsidR="00F54F82" w:rsidRDefault="00F54F82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 же отсутствуют обращения с продлением срока рассмотрения.</w:t>
      </w:r>
    </w:p>
    <w:p w:rsidR="00F54F82" w:rsidRPr="00F54F82" w:rsidRDefault="00715B28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F54F82">
        <w:rPr>
          <w:rFonts w:ascii="Times New Roman" w:hAnsi="Times New Roman" w:cs="Times New Roman"/>
          <w:sz w:val="26"/>
          <w:szCs w:val="26"/>
        </w:rPr>
        <w:t>бращения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которым</w:t>
      </w:r>
      <w:r w:rsidR="00F54F82">
        <w:rPr>
          <w:rFonts w:ascii="Times New Roman" w:hAnsi="Times New Roman" w:cs="Times New Roman"/>
          <w:sz w:val="26"/>
          <w:szCs w:val="26"/>
        </w:rPr>
        <w:t xml:space="preserve"> осуществлена обратная связь о кач</w:t>
      </w:r>
      <w:r>
        <w:rPr>
          <w:rFonts w:ascii="Times New Roman" w:hAnsi="Times New Roman" w:cs="Times New Roman"/>
          <w:sz w:val="26"/>
          <w:szCs w:val="26"/>
        </w:rPr>
        <w:t>естве принятых мер по обращению так же отсутствуют.</w:t>
      </w:r>
    </w:p>
    <w:sectPr w:rsidR="00F54F82" w:rsidRPr="00F54F82" w:rsidSect="00732A3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C72"/>
    <w:rsid w:val="000308A3"/>
    <w:rsid w:val="00037406"/>
    <w:rsid w:val="000A624F"/>
    <w:rsid w:val="000B45D0"/>
    <w:rsid w:val="000C5BB6"/>
    <w:rsid w:val="000E3EF9"/>
    <w:rsid w:val="00172FA0"/>
    <w:rsid w:val="001A001E"/>
    <w:rsid w:val="001C3357"/>
    <w:rsid w:val="002644EA"/>
    <w:rsid w:val="0029788F"/>
    <w:rsid w:val="002A5D89"/>
    <w:rsid w:val="00455CCB"/>
    <w:rsid w:val="00492E09"/>
    <w:rsid w:val="004C0CD0"/>
    <w:rsid w:val="004C1E1C"/>
    <w:rsid w:val="0052538E"/>
    <w:rsid w:val="00525AC3"/>
    <w:rsid w:val="00573BEE"/>
    <w:rsid w:val="005740EC"/>
    <w:rsid w:val="005F50D2"/>
    <w:rsid w:val="00650783"/>
    <w:rsid w:val="00651E16"/>
    <w:rsid w:val="00715B28"/>
    <w:rsid w:val="00732A3A"/>
    <w:rsid w:val="007A2677"/>
    <w:rsid w:val="008369B9"/>
    <w:rsid w:val="008969D7"/>
    <w:rsid w:val="008B2412"/>
    <w:rsid w:val="008C0EF6"/>
    <w:rsid w:val="008C4C8A"/>
    <w:rsid w:val="008E3178"/>
    <w:rsid w:val="00964A38"/>
    <w:rsid w:val="009F1453"/>
    <w:rsid w:val="00A74494"/>
    <w:rsid w:val="00AA2C6D"/>
    <w:rsid w:val="00B20C15"/>
    <w:rsid w:val="00B34A4E"/>
    <w:rsid w:val="00B530B1"/>
    <w:rsid w:val="00BB326E"/>
    <w:rsid w:val="00C10617"/>
    <w:rsid w:val="00C82527"/>
    <w:rsid w:val="00D72A9E"/>
    <w:rsid w:val="00D90AE4"/>
    <w:rsid w:val="00DB13A9"/>
    <w:rsid w:val="00E22FD1"/>
    <w:rsid w:val="00E60C72"/>
    <w:rsid w:val="00F5418C"/>
    <w:rsid w:val="00F54F82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C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C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0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0EF6"/>
    <w:rPr>
      <w:b/>
      <w:bCs/>
    </w:rPr>
  </w:style>
  <w:style w:type="character" w:styleId="a7">
    <w:name w:val="Emphasis"/>
    <w:basedOn w:val="a0"/>
    <w:uiPriority w:val="20"/>
    <w:qFormat/>
    <w:rsid w:val="008C0E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1584596701531739E-2"/>
          <c:y val="0.19758120478842611"/>
          <c:w val="0.41637325185098173"/>
          <c:h val="0.68041482619550697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обращений</c:v>
                </c:pt>
              </c:strCache>
            </c:strRef>
          </c:tx>
          <c:dLbls>
            <c:txPr>
              <a:bodyPr/>
              <a:lstStyle/>
              <a:p>
                <a:pPr>
                  <a:defRPr sz="1300" b="1" i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Письменные</c:v>
                </c:pt>
                <c:pt idx="1">
                  <c:v>Устные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0"/>
        <c:txPr>
          <a:bodyPr/>
          <a:lstStyle/>
          <a:p>
            <a:pPr>
              <a:defRPr sz="14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1343391753450174"/>
          <c:y val="0.32863728240866441"/>
          <c:w val="0.41143766404199478"/>
          <c:h val="0.35988834728992297"/>
        </c:manualLayout>
      </c:layout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12700"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16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Вид поступления обращения</c:v>
                </c:pt>
              </c:strCache>
            </c:strRef>
          </c:tx>
          <c:dPt>
            <c:idx val="2"/>
            <c:bubble3D val="0"/>
            <c:spPr>
              <a:ln w="12700"/>
            </c:spPr>
          </c:dPt>
          <c:dLbls>
            <c:dLbl>
              <c:idx val="0"/>
              <c:layout>
                <c:manualLayout>
                  <c:x val="0.16233777460395016"/>
                  <c:y val="-0.2108108108108108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General" sourceLinked="0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Почтовые отправления</c:v>
                </c:pt>
                <c:pt idx="1">
                  <c:v>Личная доставка</c:v>
                </c:pt>
                <c:pt idx="2">
                  <c:v>Интернет-приемная</c:v>
                </c:pt>
                <c:pt idx="3">
                  <c:v>Электронная почта (+АС ДОУ)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 w="12700">
      <a:solidFill>
        <a:schemeClr val="tx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364355058027391"/>
          <c:y val="2.2477052246922244E-2"/>
          <c:w val="0.83422793536350315"/>
          <c:h val="0.679371238816144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ЖИЛИЩНО-КОММУНАЛЬНАЯ СФЕРА</c:v>
                </c:pt>
                <c:pt idx="2">
                  <c:v>ОБОРОНА, БЕЗОПАСНОСТЬ, ЗАКОННОСТЬ</c:v>
                </c:pt>
                <c:pt idx="3">
                  <c:v>СОЦИАЛЬНАЯ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ЖИЛИЩНО-КОММУНАЛЬНАЯ СФЕРА</c:v>
                </c:pt>
                <c:pt idx="2">
                  <c:v>ОБОРОНА, БЕЗОПАСНОСТЬ, ЗАКОННОСТЬ</c:v>
                </c:pt>
                <c:pt idx="3">
                  <c:v>СОЦИАЛЬНАЯ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11</c:v>
                </c:pt>
                <c:pt idx="2">
                  <c:v>6</c:v>
                </c:pt>
                <c:pt idx="3">
                  <c:v>3</c:v>
                </c:pt>
                <c:pt idx="4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965568"/>
        <c:axId val="143971456"/>
      </c:barChart>
      <c:catAx>
        <c:axId val="143965568"/>
        <c:scaling>
          <c:orientation val="minMax"/>
        </c:scaling>
        <c:delete val="0"/>
        <c:axPos val="b"/>
        <c:majorTickMark val="none"/>
        <c:minorTickMark val="none"/>
        <c:tickLblPos val="nextTo"/>
        <c:crossAx val="143971456"/>
        <c:crosses val="autoZero"/>
        <c:auto val="1"/>
        <c:lblAlgn val="ctr"/>
        <c:lblOffset val="100"/>
        <c:noMultiLvlLbl val="0"/>
      </c:catAx>
      <c:valAx>
        <c:axId val="1439714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39655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>
            <a:solidFill>
              <a:srgbClr val="4F81BD"/>
            </a:solidFill>
          </a:ln>
        </c:sp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313782991202489E-3"/>
          <c:y val="0"/>
          <c:w val="0.45509825201468584"/>
          <c:h val="0.98846180851597376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delete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21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6334310850439875"/>
          <c:y val="0.14611995722756876"/>
          <c:w val="0.51124144672531768"/>
          <c:h val="0.73186157285894815"/>
        </c:manualLayout>
      </c:layout>
      <c:overlay val="0"/>
      <c:spPr>
        <a:ln>
          <a:noFill/>
        </a:ln>
      </c:spPr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noFill/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183026105771645"/>
          <c:y val="5.9523809523809507E-2"/>
          <c:w val="0.71971795252734194"/>
          <c:h val="0.7305740145710486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Направлено по компетенции в иной орган</c:v>
                </c:pt>
                <c:pt idx="1">
                  <c:v>Оставлено без ответа автору</c:v>
                </c:pt>
                <c:pt idx="2">
                  <c:v>Дан ответ автору</c:v>
                </c:pt>
                <c:pt idx="3">
                  <c:v>Не поддержано</c:v>
                </c:pt>
                <c:pt idx="4">
                  <c:v>Разъяснено</c:v>
                </c:pt>
                <c:pt idx="5">
                  <c:v>Меры приняты</c:v>
                </c:pt>
                <c:pt idx="6">
                  <c:v>Поддержано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Направлено по компетенции в иной орган</c:v>
                </c:pt>
                <c:pt idx="1">
                  <c:v>Оставлено без ответа автору</c:v>
                </c:pt>
                <c:pt idx="2">
                  <c:v>Дан ответ автору</c:v>
                </c:pt>
                <c:pt idx="3">
                  <c:v>Не поддержано</c:v>
                </c:pt>
                <c:pt idx="4">
                  <c:v>Разъяснено</c:v>
                </c:pt>
                <c:pt idx="5">
                  <c:v>Меры приняты</c:v>
                </c:pt>
                <c:pt idx="6">
                  <c:v>Поддержано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6"/>
              <c:delete val="1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Направлено по компетенции в иной орган</c:v>
                </c:pt>
                <c:pt idx="1">
                  <c:v>Оставлено без ответа автору</c:v>
                </c:pt>
                <c:pt idx="2">
                  <c:v>Дан ответ автору</c:v>
                </c:pt>
                <c:pt idx="3">
                  <c:v>Не поддержано</c:v>
                </c:pt>
                <c:pt idx="4">
                  <c:v>Разъяснено</c:v>
                </c:pt>
                <c:pt idx="5">
                  <c:v>Меры приняты</c:v>
                </c:pt>
                <c:pt idx="6">
                  <c:v>Поддержано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81300864"/>
        <c:axId val="143614720"/>
      </c:barChart>
      <c:catAx>
        <c:axId val="81300864"/>
        <c:scaling>
          <c:orientation val="minMax"/>
        </c:scaling>
        <c:delete val="0"/>
        <c:axPos val="l"/>
        <c:majorTickMark val="none"/>
        <c:minorTickMark val="none"/>
        <c:tickLblPos val="nextTo"/>
        <c:crossAx val="143614720"/>
        <c:crosses val="autoZero"/>
        <c:auto val="1"/>
        <c:lblAlgn val="ctr"/>
        <c:lblOffset val="100"/>
        <c:tickLblSkip val="1"/>
        <c:noMultiLvlLbl val="0"/>
      </c:catAx>
      <c:valAx>
        <c:axId val="14361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130086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7AA71-CE19-4028-ADA0-9F39C7B4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Решетников Сергей</dc:creator>
  <cp:keywords/>
  <dc:description/>
  <cp:lastModifiedBy>Решетников Сергей</cp:lastModifiedBy>
  <cp:revision>15</cp:revision>
  <dcterms:created xsi:type="dcterms:W3CDTF">2022-10-07T07:14:00Z</dcterms:created>
  <dcterms:modified xsi:type="dcterms:W3CDTF">2026-05-17T20:35:00Z</dcterms:modified>
</cp:coreProperties>
</file>